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40" w:hanging="0"/>
        <w:jc w:val="center"/>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СОВЕТ ДЕПУТАТОВ</w:t>
        <w:br/>
        <w:t>КРОПАЧЕВСКОГО ГОРОДСКОГО ПОСЕЛЕНИЯ</w:t>
        <w:br/>
        <w:t>АШИНСКОГО МУНИЦИПАЛЬНОГО РАЙОНА</w:t>
      </w:r>
    </w:p>
    <w:p>
      <w:pPr>
        <w:pStyle w:val="Normal"/>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ЧЕЛЯБИНСКОЙ ОБЛАСТИ</w:t>
      </w:r>
    </w:p>
    <w:p>
      <w:pPr>
        <w:pStyle w:val="Normal"/>
        <w:spacing w:lineRule="auto" w:line="240" w:before="0" w:after="0"/>
        <w:ind w:left="54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540" w:hanging="0"/>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Normal"/>
        <w:spacing w:lineRule="auto" w:line="240" w:before="0" w:after="0"/>
        <w:ind w:hanging="540"/>
        <w:jc w:val="center"/>
        <w:rPr>
          <w:b/>
          <w:b/>
          <w:sz w:val="28"/>
          <w:szCs w:val="28"/>
        </w:rPr>
      </w:pPr>
      <w:r>
        <w:rPr>
          <w:b/>
          <w:sz w:val="28"/>
          <w:szCs w:val="28"/>
        </w:rPr>
        <w:t xml:space="preserve">     </w:t>
      </w:r>
      <w:r>
        <w:rPr>
          <w:b/>
          <w:sz w:val="28"/>
          <w:szCs w:val="28"/>
        </w:rPr>
        <w:t>____________________________________________________________________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от 15 апреля  2022г. № 20</w:t>
        <w:tab/>
        <w:tab/>
        <w:tab/>
        <w:tab/>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 введении налога на имущество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физических лиц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1"/>
        <w:shd w:val="clear" w:color="auto" w:fill="FFFFFF"/>
        <w:spacing w:before="280" w:after="280"/>
        <w:ind w:firstLine="708"/>
        <w:jc w:val="both"/>
        <w:rPr>
          <w:b/>
          <w:b/>
          <w:color w:val="000000" w:themeColor="text1"/>
        </w:rPr>
      </w:pPr>
      <w:r>
        <w:rPr>
          <w:color w:val="000000" w:themeColor="text1"/>
        </w:rPr>
        <w:t>В соответствии с </w:t>
      </w:r>
      <w:r>
        <w:fldChar w:fldCharType="begin"/>
      </w:r>
      <w:r>
        <w:rPr>
          <w:u w:val="none"/>
          <w:color w:val="000000"/>
        </w:rPr>
        <w:instrText xml:space="preserve"> HYPERLINK "http://internet.garant.ru/" \l "/document/186367/entry/140102"</w:instrText>
      </w:r>
      <w:r>
        <w:rPr>
          <w:u w:val="none"/>
          <w:color w:val="000000"/>
        </w:rPr>
        <w:fldChar w:fldCharType="separate"/>
      </w:r>
      <w:r>
        <w:rPr>
          <w:color w:val="000000" w:themeColor="text1"/>
          <w:u w:val="none"/>
        </w:rPr>
        <w:t>Федеральным законом</w:t>
      </w:r>
      <w:r>
        <w:rPr>
          <w:u w:val="none"/>
          <w:color w:val="000000"/>
        </w:rPr>
        <w:fldChar w:fldCharType="end"/>
      </w:r>
      <w:r>
        <w:rPr>
          <w:color w:val="000000" w:themeColor="text1"/>
        </w:rPr>
        <w:t> от 06.10.2003 N 131-ФЗ "Об общих принципах организации местного самоуправления в Российской Федерации", </w:t>
      </w:r>
      <w:r>
        <w:fldChar w:fldCharType="begin"/>
      </w:r>
      <w:r>
        <w:rPr>
          <w:u w:val="none"/>
          <w:color w:val="000000"/>
        </w:rPr>
        <w:instrText xml:space="preserve"> HYPERLINK "http://internet.garant.ru/" \l "/document/10900200/entry/20032"</w:instrText>
      </w:r>
      <w:r>
        <w:rPr>
          <w:u w:val="none"/>
          <w:color w:val="000000"/>
        </w:rPr>
        <w:fldChar w:fldCharType="separate"/>
      </w:r>
      <w:r>
        <w:rPr>
          <w:color w:val="000000" w:themeColor="text1"/>
          <w:u w:val="none"/>
        </w:rPr>
        <w:t>главой 32</w:t>
      </w:r>
      <w:r>
        <w:rPr>
          <w:u w:val="none"/>
          <w:color w:val="000000"/>
        </w:rPr>
        <w:fldChar w:fldCharType="end"/>
      </w:r>
      <w:r>
        <w:rPr>
          <w:color w:val="000000" w:themeColor="text1"/>
        </w:rPr>
        <w:t xml:space="preserve"> Налогового кодекса Российской Федерации,  Федеральным законом от 3 августа 2018г. № 334-ФЗ «О внесении изменений в статью 52 части первой и часть вторую Налогового кодекса Российской Федерации», </w:t>
      </w:r>
      <w:r>
        <w:fldChar w:fldCharType="begin"/>
      </w:r>
      <w:r>
        <w:rPr>
          <w:u w:val="none"/>
          <w:color w:val="000000"/>
        </w:rPr>
        <w:instrText xml:space="preserve"> HYPERLINK "http://internet.garant.ru/" \l "/document/19780752/entry/0"</w:instrText>
      </w:r>
      <w:r>
        <w:rPr>
          <w:u w:val="none"/>
          <w:color w:val="000000"/>
        </w:rPr>
        <w:fldChar w:fldCharType="separate"/>
      </w:r>
      <w:r>
        <w:rPr>
          <w:color w:val="000000" w:themeColor="text1"/>
          <w:u w:val="none"/>
        </w:rPr>
        <w:t>Законом</w:t>
      </w:r>
      <w:r>
        <w:rPr>
          <w:u w:val="none"/>
          <w:color w:val="000000"/>
        </w:rPr>
        <w:fldChar w:fldCharType="end"/>
      </w:r>
      <w:r>
        <w:rPr>
          <w:color w:val="000000" w:themeColor="text1"/>
        </w:rPr>
        <w:t xml:space="preserve"> Челябинской области от 28.10.2015 N 241-ЗО "О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Кропачевского городского поселения Ашинского муниципального района Челябинской области, Совет депутатов Кропачевского городского поселения </w:t>
      </w:r>
      <w:r>
        <w:rPr>
          <w:b/>
          <w:color w:val="000000" w:themeColor="text1"/>
        </w:rPr>
        <w:t>решает:</w:t>
      </w:r>
    </w:p>
    <w:p>
      <w:pPr>
        <w:pStyle w:val="S1"/>
        <w:shd w:val="clear" w:color="auto" w:fill="FFFFFF"/>
        <w:spacing w:before="280" w:after="280"/>
        <w:jc w:val="both"/>
        <w:rPr>
          <w:color w:val="000000" w:themeColor="text1"/>
        </w:rPr>
      </w:pPr>
      <w:r>
        <w:rPr>
          <w:color w:val="000000" w:themeColor="text1"/>
        </w:rPr>
        <w:t>1. Ввести на территории Кропачевского городского поселения налог на имущество физических лиц.</w:t>
      </w:r>
    </w:p>
    <w:p>
      <w:pPr>
        <w:pStyle w:val="S1"/>
        <w:shd w:val="clear" w:color="auto" w:fill="FFFFFF"/>
        <w:spacing w:before="280" w:after="280"/>
        <w:jc w:val="both"/>
        <w:rPr>
          <w:color w:val="000000" w:themeColor="text1"/>
        </w:rPr>
      </w:pPr>
      <w:r>
        <w:rPr>
          <w:color w:val="000000" w:themeColor="text1"/>
        </w:rPr>
        <w:t>2. Установить следующие ставки налога на имущество физических лиц исходя из кадастровой стоимости объекта налогообложения:</w:t>
      </w:r>
    </w:p>
    <w:tbl>
      <w:tblPr>
        <w:tblW w:w="10170" w:type="dxa"/>
        <w:jc w:val="left"/>
        <w:tblInd w:w="0" w:type="dxa"/>
        <w:tblLayout w:type="fixed"/>
        <w:tblCellMar>
          <w:top w:w="15" w:type="dxa"/>
          <w:left w:w="15" w:type="dxa"/>
          <w:bottom w:w="15" w:type="dxa"/>
          <w:right w:w="15" w:type="dxa"/>
        </w:tblCellMar>
        <w:tblLook w:val="04a0"/>
      </w:tblPr>
      <w:tblGrid>
        <w:gridCol w:w="8069"/>
        <w:gridCol w:w="2100"/>
      </w:tblGrid>
      <w:tr>
        <w:trPr/>
        <w:tc>
          <w:tcPr>
            <w:tcW w:w="8069" w:type="dxa"/>
            <w:tcBorders>
              <w:top w:val="single" w:sz="6" w:space="0" w:color="000000"/>
              <w:left w:val="single" w:sz="6" w:space="0" w:color="000000"/>
              <w:bottom w:val="single" w:sz="6" w:space="0" w:color="000000"/>
              <w:right w:val="single" w:sz="6" w:space="0" w:color="000000"/>
            </w:tcBorders>
          </w:tcPr>
          <w:p>
            <w:pPr>
              <w:pStyle w:val="S1"/>
              <w:widowControl w:val="false"/>
              <w:spacing w:before="0" w:after="0"/>
              <w:jc w:val="center"/>
              <w:rPr>
                <w:color w:val="000000" w:themeColor="text1"/>
              </w:rPr>
            </w:pPr>
            <w:r>
              <w:rPr>
                <w:color w:val="000000" w:themeColor="text1"/>
              </w:rPr>
              <w:t>Объект налогообложения</w:t>
            </w:r>
          </w:p>
        </w:tc>
        <w:tc>
          <w:tcPr>
            <w:tcW w:w="2100" w:type="dxa"/>
            <w:tcBorders>
              <w:top w:val="single" w:sz="6" w:space="0" w:color="000000"/>
              <w:left w:val="single" w:sz="6" w:space="0" w:color="000000"/>
              <w:bottom w:val="single" w:sz="6" w:space="0" w:color="000000"/>
              <w:right w:val="single" w:sz="6" w:space="0" w:color="000000"/>
            </w:tcBorders>
          </w:tcPr>
          <w:p>
            <w:pPr>
              <w:pStyle w:val="S1"/>
              <w:widowControl w:val="false"/>
              <w:spacing w:before="0" w:after="0"/>
              <w:jc w:val="center"/>
              <w:rPr>
                <w:color w:val="000000" w:themeColor="text1"/>
              </w:rPr>
            </w:pPr>
            <w:r>
              <w:rPr>
                <w:color w:val="000000" w:themeColor="text1"/>
              </w:rPr>
              <w:t>Ставка налога, процентов</w:t>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1) жилые дома, части жилых домов, квартиры, части квартир, комнаты;</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pPr>
              <w:pStyle w:val="S1"/>
              <w:widowControl w:val="false"/>
              <w:spacing w:before="0" w:after="0"/>
              <w:jc w:val="center"/>
              <w:rPr>
                <w:color w:val="000000" w:themeColor="text1"/>
              </w:rPr>
            </w:pPr>
            <w:r>
              <w:rPr>
                <w:color w:val="000000" w:themeColor="text1"/>
              </w:rPr>
              <w:t>0,3%</w:t>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2) объекты незавершенного строительства в случае, если проектируемым назначением таких объектов является жилой дом;</w:t>
            </w:r>
          </w:p>
        </w:tc>
        <w:tc>
          <w:tcPr>
            <w:tcW w:w="2100" w:type="dxa"/>
            <w:vMerge w:val="continue"/>
            <w:tcBorders>
              <w:left w:val="single" w:sz="6" w:space="0" w:color="000000"/>
              <w:right w:val="single" w:sz="6" w:space="0" w:color="000000"/>
            </w:tcBorders>
            <w:vAlign w:val="center"/>
          </w:tcPr>
          <w:p>
            <w:pPr>
              <w:pStyle w:val="S1"/>
              <w:widowControl w:val="false"/>
              <w:spacing w:before="0" w:after="0"/>
              <w:jc w:val="center"/>
              <w:rPr>
                <w:color w:val="000000" w:themeColor="text1"/>
              </w:rPr>
            </w:pPr>
            <w:r>
              <w:rPr>
                <w:color w:val="000000" w:themeColor="text1"/>
              </w:rPr>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3) единые недвижимые комплексы, в состав которых входит хотя быодин жилой дом;</w:t>
            </w:r>
          </w:p>
        </w:tc>
        <w:tc>
          <w:tcPr>
            <w:tcW w:w="2100" w:type="dxa"/>
            <w:vMerge w:val="continue"/>
            <w:tcBorders>
              <w:left w:val="single" w:sz="6" w:space="0" w:color="000000"/>
              <w:right w:val="single" w:sz="6" w:space="0" w:color="000000"/>
            </w:tcBorders>
            <w:vAlign w:val="center"/>
          </w:tcPr>
          <w:p>
            <w:pPr>
              <w:pStyle w:val="Normal"/>
              <w:widowControl w:val="false"/>
              <w:spacing w:before="0" w:after="200"/>
              <w:jc w:val="center"/>
              <w:rPr>
                <w:color w:val="000000" w:themeColor="text1"/>
                <w:sz w:val="24"/>
                <w:szCs w:val="24"/>
              </w:rPr>
            </w:pPr>
            <w:r>
              <w:rPr>
                <w:color w:val="000000" w:themeColor="text1"/>
                <w:sz w:val="24"/>
                <w:szCs w:val="24"/>
              </w:rPr>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4) гаражи и машино-места, в том числе расположенные в объектах налогообложения, указанных в подпунктах 6,7,8 настоящего пункта;</w:t>
            </w:r>
          </w:p>
        </w:tc>
        <w:tc>
          <w:tcPr>
            <w:tcW w:w="2100" w:type="dxa"/>
            <w:vMerge w:val="continue"/>
            <w:tcBorders>
              <w:left w:val="single" w:sz="6" w:space="0" w:color="000000"/>
              <w:right w:val="single" w:sz="6" w:space="0" w:color="000000"/>
            </w:tcBorders>
            <w:vAlign w:val="center"/>
          </w:tcPr>
          <w:p>
            <w:pPr>
              <w:pStyle w:val="Normal"/>
              <w:widowControl w:val="false"/>
              <w:spacing w:before="0" w:after="200"/>
              <w:jc w:val="center"/>
              <w:rPr>
                <w:color w:val="000000" w:themeColor="text1"/>
                <w:sz w:val="24"/>
                <w:szCs w:val="24"/>
              </w:rPr>
            </w:pPr>
            <w:r>
              <w:rPr>
                <w:color w:val="000000" w:themeColor="text1"/>
                <w:sz w:val="24"/>
                <w:szCs w:val="24"/>
              </w:rPr>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5)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подсобногохозяйства, огородничества, садоводства или индивидуального жилищного строительства;</w:t>
            </w:r>
          </w:p>
        </w:tc>
        <w:tc>
          <w:tcPr>
            <w:tcW w:w="2100"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200"/>
              <w:jc w:val="center"/>
              <w:rPr>
                <w:color w:val="000000" w:themeColor="text1"/>
                <w:sz w:val="24"/>
                <w:szCs w:val="24"/>
              </w:rPr>
            </w:pPr>
            <w:r>
              <w:rPr>
                <w:color w:val="000000" w:themeColor="text1"/>
                <w:sz w:val="24"/>
                <w:szCs w:val="24"/>
              </w:rPr>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6) объекты налогообложения, включенные в перечень, определяемый в соответствии с </w:t>
            </w:r>
            <w:r>
              <w:fldChar w:fldCharType="begin"/>
            </w:r>
            <w:r>
              <w:rPr>
                <w:u w:val="none"/>
                <w:color w:val="000000"/>
              </w:rPr>
              <w:instrText xml:space="preserve"> HYPERLINK "http://internet.garant.ru/" \l "/document/10900200/entry/37827"</w:instrText>
            </w:r>
            <w:r>
              <w:rPr>
                <w:u w:val="none"/>
                <w:color w:val="000000"/>
              </w:rPr>
              <w:fldChar w:fldCharType="separate"/>
            </w:r>
            <w:r>
              <w:rPr>
                <w:color w:val="000000" w:themeColor="text1"/>
                <w:u w:val="none"/>
              </w:rPr>
              <w:t>пунктом 7 статьи 378.2</w:t>
            </w:r>
            <w:r>
              <w:rPr>
                <w:u w:val="none"/>
                <w:color w:val="000000"/>
              </w:rPr>
              <w:fldChar w:fldCharType="end"/>
            </w:r>
            <w:r>
              <w:rPr>
                <w:color w:val="000000" w:themeColor="text1"/>
              </w:rPr>
              <w:t> Налогового Кодекса РФ;</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pPr>
              <w:pStyle w:val="S16"/>
              <w:widowControl w:val="false"/>
              <w:spacing w:before="0" w:after="280"/>
              <w:jc w:val="center"/>
              <w:rPr>
                <w:color w:val="000000" w:themeColor="text1"/>
              </w:rPr>
            </w:pPr>
            <w:r>
              <w:rPr>
                <w:color w:val="000000" w:themeColor="text1"/>
              </w:rPr>
            </w:r>
          </w:p>
          <w:p>
            <w:pPr>
              <w:pStyle w:val="S16"/>
              <w:widowControl w:val="false"/>
              <w:spacing w:before="280" w:after="0"/>
              <w:jc w:val="center"/>
              <w:rPr>
                <w:color w:val="000000" w:themeColor="text1"/>
              </w:rPr>
            </w:pPr>
            <w:r>
              <w:rPr>
                <w:color w:val="000000" w:themeColor="text1"/>
              </w:rPr>
              <w:t>1,5%</w:t>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hanging="0"/>
              <w:jc w:val="both"/>
              <w:rPr>
                <w:color w:val="000000" w:themeColor="text1"/>
              </w:rPr>
            </w:pPr>
            <w:r>
              <w:rPr>
                <w:color w:val="000000" w:themeColor="text1"/>
              </w:rPr>
              <w:t>7) объекты налогообложения, предусмотренные </w:t>
            </w:r>
            <w:r>
              <w:fldChar w:fldCharType="begin"/>
            </w:r>
            <w:r>
              <w:rPr>
                <w:u w:val="none"/>
                <w:color w:val="000000"/>
              </w:rPr>
              <w:instrText xml:space="preserve"> HYPERLINK "http://internet.garant.ru/" \l "/document/10900200/entry/3782102"</w:instrText>
            </w:r>
            <w:r>
              <w:rPr>
                <w:u w:val="none"/>
                <w:color w:val="000000"/>
              </w:rPr>
              <w:fldChar w:fldCharType="separate"/>
            </w:r>
            <w:r>
              <w:rPr>
                <w:color w:val="000000" w:themeColor="text1"/>
                <w:u w:val="none"/>
              </w:rPr>
              <w:t>абзацем вторым пункта 10 статьи 378.2</w:t>
            </w:r>
            <w:r>
              <w:rPr>
                <w:u w:val="none"/>
                <w:color w:val="000000"/>
              </w:rPr>
              <w:fldChar w:fldCharType="end"/>
            </w:r>
            <w:r>
              <w:rPr>
                <w:color w:val="000000" w:themeColor="text1"/>
              </w:rPr>
              <w:t> Налогового кодекса РФ;</w:t>
            </w:r>
          </w:p>
        </w:tc>
        <w:tc>
          <w:tcPr>
            <w:tcW w:w="210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color w:val="000000" w:themeColor="text1"/>
                <w:sz w:val="24"/>
                <w:szCs w:val="24"/>
              </w:rPr>
            </w:pPr>
            <w:r>
              <w:rPr>
                <w:color w:val="000000" w:themeColor="text1"/>
                <w:sz w:val="24"/>
                <w:szCs w:val="24"/>
              </w:rPr>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firstLine="142"/>
              <w:jc w:val="both"/>
              <w:rPr>
                <w:color w:val="000000" w:themeColor="text1"/>
              </w:rPr>
            </w:pPr>
            <w:r>
              <w:rPr>
                <w:color w:val="000000" w:themeColor="text1"/>
              </w:rPr>
              <w:t>8) объекты налогообложения, кадастровая стоимость каждого из которых превышает 300 миллионов рублей;</w:t>
            </w:r>
          </w:p>
        </w:tc>
        <w:tc>
          <w:tcPr>
            <w:tcW w:w="2100" w:type="dxa"/>
            <w:tcBorders>
              <w:top w:val="single" w:sz="6" w:space="0" w:color="000000"/>
              <w:left w:val="single" w:sz="6" w:space="0" w:color="000000"/>
              <w:bottom w:val="single" w:sz="6" w:space="0" w:color="000000"/>
              <w:right w:val="single" w:sz="6" w:space="0" w:color="000000"/>
            </w:tcBorders>
            <w:vAlign w:val="center"/>
          </w:tcPr>
          <w:p>
            <w:pPr>
              <w:pStyle w:val="S1"/>
              <w:widowControl w:val="false"/>
              <w:spacing w:before="0" w:after="0"/>
              <w:jc w:val="center"/>
              <w:rPr>
                <w:color w:val="000000" w:themeColor="text1"/>
              </w:rPr>
            </w:pPr>
            <w:r>
              <w:rPr>
                <w:color w:val="000000" w:themeColor="text1"/>
              </w:rPr>
              <w:t>2%</w:t>
            </w:r>
          </w:p>
        </w:tc>
      </w:tr>
      <w:tr>
        <w:trPr/>
        <w:tc>
          <w:tcPr>
            <w:tcW w:w="8069" w:type="dxa"/>
            <w:tcBorders>
              <w:top w:val="single" w:sz="6" w:space="0" w:color="000000"/>
              <w:left w:val="single" w:sz="6" w:space="0" w:color="000000"/>
              <w:bottom w:val="single" w:sz="6" w:space="0" w:color="000000"/>
              <w:right w:val="single" w:sz="6" w:space="0" w:color="000000"/>
            </w:tcBorders>
          </w:tcPr>
          <w:p>
            <w:pPr>
              <w:pStyle w:val="S16"/>
              <w:widowControl w:val="false"/>
              <w:spacing w:before="0" w:after="0"/>
              <w:ind w:right="243" w:firstLine="142"/>
              <w:jc w:val="both"/>
              <w:rPr>
                <w:color w:val="000000" w:themeColor="text1"/>
              </w:rPr>
            </w:pPr>
            <w:r>
              <w:rPr>
                <w:color w:val="000000" w:themeColor="text1"/>
              </w:rPr>
              <w:t>9) прочие объекты налогообложения</w:t>
            </w:r>
          </w:p>
        </w:tc>
        <w:tc>
          <w:tcPr>
            <w:tcW w:w="2100" w:type="dxa"/>
            <w:tcBorders>
              <w:top w:val="single" w:sz="6" w:space="0" w:color="000000"/>
              <w:left w:val="single" w:sz="6" w:space="0" w:color="000000"/>
              <w:bottom w:val="single" w:sz="6" w:space="0" w:color="000000"/>
              <w:right w:val="single" w:sz="6" w:space="0" w:color="000000"/>
            </w:tcBorders>
            <w:vAlign w:val="center"/>
          </w:tcPr>
          <w:p>
            <w:pPr>
              <w:pStyle w:val="S1"/>
              <w:widowControl w:val="false"/>
              <w:spacing w:before="0" w:after="0"/>
              <w:jc w:val="center"/>
              <w:rPr>
                <w:color w:val="000000" w:themeColor="text1"/>
              </w:rPr>
            </w:pPr>
            <w:r>
              <w:rPr>
                <w:color w:val="000000" w:themeColor="text1"/>
              </w:rPr>
              <w:t>0,5%</w:t>
            </w:r>
          </w:p>
        </w:tc>
      </w:tr>
    </w:tbl>
    <w:p>
      <w:pPr>
        <w:pStyle w:val="S1"/>
        <w:shd w:val="clear" w:color="auto" w:fill="FFFFFF"/>
        <w:spacing w:before="280" w:after="280"/>
        <w:jc w:val="both"/>
        <w:rPr/>
      </w:pPr>
      <w:r>
        <w:rPr>
          <w:color w:val="000000" w:themeColor="text1"/>
        </w:rPr>
        <w:t>3. Дополнительно к льготам, установленным </w:t>
      </w:r>
      <w:r>
        <w:fldChar w:fldCharType="begin"/>
      </w:r>
      <w:r>
        <w:rPr>
          <w:u w:val="none"/>
          <w:color w:val="000000"/>
        </w:rPr>
        <w:instrText xml:space="preserve"> HYPERLINK "http://internet.garant.ru/" \l "/document/10900200/entry/40800"</w:instrText>
      </w:r>
      <w:r>
        <w:rPr>
          <w:u w:val="none"/>
          <w:color w:val="000000"/>
        </w:rPr>
        <w:fldChar w:fldCharType="separate"/>
      </w:r>
      <w:r>
        <w:rPr>
          <w:color w:val="000000" w:themeColor="text1"/>
          <w:u w:val="none"/>
        </w:rPr>
        <w:t>статьей 407</w:t>
      </w:r>
      <w:r>
        <w:rPr>
          <w:u w:val="none"/>
          <w:color w:val="000000"/>
        </w:rPr>
        <w:fldChar w:fldCharType="end"/>
      </w:r>
      <w:r>
        <w:rPr>
          <w:color w:val="000000" w:themeColor="text1"/>
        </w:rPr>
        <w:t> Налогового кодекса РФ,</w:t>
      </w:r>
      <w:r>
        <w:rPr/>
        <w:t>установить налоговые льготы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для следующих категорий налогоплательщиков</w:t>
      </w:r>
      <w:r>
        <w:rPr>
          <w:color w:val="FF0000"/>
        </w:rPr>
        <w:t>:</w:t>
      </w:r>
    </w:p>
    <w:p>
      <w:pPr>
        <w:pStyle w:val="S1"/>
        <w:shd w:val="clear" w:color="auto" w:fill="FFFFFF"/>
        <w:spacing w:before="280" w:after="280"/>
        <w:jc w:val="both"/>
        <w:rPr>
          <w:color w:val="000000" w:themeColor="text1"/>
        </w:rPr>
      </w:pPr>
      <w:r>
        <w:rPr>
          <w:color w:val="000000" w:themeColor="text1"/>
        </w:rPr>
        <w:t>- одиноких родителей, имеющих детей в возрасте до 18 лет, а также детей - студентов (курсантов) очной формы обучения в возрасте до 24 лет, основанием для предоставления льготы считать справку, выданную органами социальной защиты населения, свидетельство о рождение ребенка, а также справку об обучении из образовательного учреждения;</w:t>
      </w:r>
    </w:p>
    <w:p>
      <w:pPr>
        <w:pStyle w:val="S1"/>
        <w:shd w:val="clear" w:color="auto" w:fill="FFFFFF"/>
        <w:spacing w:before="280" w:after="280"/>
        <w:jc w:val="both"/>
        <w:rPr/>
      </w:pPr>
      <w:r>
        <w:rPr>
          <w:color w:val="000000" w:themeColor="text1"/>
        </w:rPr>
        <w:t xml:space="preserve">- многодетные семьи, имеющие трех и более детей в возрасте до 18 лет, основанием для предоставления льготы считать </w:t>
      </w:r>
      <w:r>
        <w:rPr/>
        <w:t>удостоверение многодетной семьи;</w:t>
      </w:r>
    </w:p>
    <w:p>
      <w:pPr>
        <w:pStyle w:val="S1"/>
        <w:shd w:val="clear" w:color="auto" w:fill="FFFFFF"/>
        <w:spacing w:before="280" w:after="280"/>
        <w:jc w:val="both"/>
        <w:rPr>
          <w:color w:val="000000" w:themeColor="text1"/>
        </w:rPr>
      </w:pPr>
      <w:r>
        <w:rPr>
          <w:color w:val="000000" w:themeColor="text1"/>
        </w:rPr>
        <w:t>- детей, находящихся под опекой, основанием для предоставления льготы считать решение об установлении опекунства;</w:t>
      </w:r>
    </w:p>
    <w:p>
      <w:pPr>
        <w:pStyle w:val="S1"/>
        <w:shd w:val="clear" w:color="auto" w:fill="FFFFFF"/>
        <w:spacing w:before="280" w:after="280"/>
        <w:jc w:val="both"/>
        <w:rPr>
          <w:color w:val="000000" w:themeColor="text1"/>
        </w:rPr>
      </w:pPr>
      <w:r>
        <w:rPr>
          <w:color w:val="000000" w:themeColor="text1"/>
        </w:rPr>
        <w:t>- детей, получающих пенсии по случаю потери кормильца, основанием для предоставления льготы считать справку, выданную пенсионным фондом;</w:t>
      </w:r>
    </w:p>
    <w:p>
      <w:pPr>
        <w:pStyle w:val="S1"/>
        <w:shd w:val="clear" w:color="auto" w:fill="FFFFFF"/>
        <w:spacing w:before="280" w:after="280"/>
        <w:jc w:val="both"/>
        <w:rPr>
          <w:color w:val="000000" w:themeColor="text1"/>
        </w:rPr>
      </w:pPr>
      <w:r>
        <w:rPr>
          <w:color w:val="000000" w:themeColor="text1"/>
        </w:rPr>
        <w:t>- неработающих инвалидов 3 группы, основанием для предоставления льготы считать справку медико-социальной экспертизы об установлении группы инвалидности, а также справку из пенсионного фонда об отсутствии отчислений на страховую и накопительную часть трудовой пенсии.</w:t>
      </w:r>
    </w:p>
    <w:p>
      <w:pPr>
        <w:pStyle w:val="S1"/>
        <w:shd w:val="clear" w:color="auto" w:fill="FFFFFF"/>
        <w:spacing w:before="280" w:after="280"/>
        <w:jc w:val="both"/>
        <w:rPr/>
      </w:pPr>
      <w:r>
        <w:rPr/>
        <w:t>При определении подлежащей уплате налогоплательщиком суммы налога налоговая льгота предоставляется в соответствии с п.3 и п.4 статьи 407 Налогового Кодекса РФ.</w:t>
      </w:r>
    </w:p>
    <w:p>
      <w:pPr>
        <w:pStyle w:val="S1"/>
        <w:shd w:val="clear" w:color="auto" w:fill="FFFFFF"/>
        <w:spacing w:before="280" w:after="280"/>
        <w:jc w:val="both"/>
        <w:rPr>
          <w:color w:val="000000" w:themeColor="text1"/>
        </w:rPr>
      </w:pPr>
      <w:r>
        <w:rPr>
          <w:color w:val="000000" w:themeColor="text1"/>
        </w:rPr>
        <w:t>Лица, имеющие право на налоговую льготу, предоставляют в налоговый орган заявление о предоставлении льготы и документы, подтверждающие право налогоплательщика на налоговую льготу.</w:t>
      </w:r>
    </w:p>
    <w:p>
      <w:pPr>
        <w:pStyle w:val="S1"/>
        <w:shd w:val="clear" w:color="auto" w:fill="FFFFFF"/>
        <w:spacing w:before="280" w:after="280"/>
        <w:jc w:val="both"/>
        <w:rPr>
          <w:color w:val="000000" w:themeColor="text1"/>
        </w:rPr>
      </w:pPr>
      <w:r>
        <w:rPr>
          <w:color w:val="000000" w:themeColor="text1"/>
        </w:rPr>
        <w:t>4. Со дня вступления в силу настоящего решения признать утратившим силу </w:t>
      </w:r>
      <w:r>
        <w:fldChar w:fldCharType="begin"/>
      </w:r>
      <w:r>
        <w:rPr>
          <w:u w:val="none"/>
          <w:color w:val="000000"/>
        </w:rPr>
        <w:instrText xml:space="preserve"> HYPERLINK "http://internet.garant.ru/" \l "/document/19761103/entry/0"</w:instrText>
      </w:r>
      <w:r>
        <w:rPr>
          <w:u w:val="none"/>
          <w:color w:val="000000"/>
        </w:rPr>
        <w:fldChar w:fldCharType="separate"/>
      </w:r>
      <w:r>
        <w:rPr>
          <w:color w:val="000000" w:themeColor="text1"/>
          <w:u w:val="none"/>
        </w:rPr>
        <w:t>решение</w:t>
      </w:r>
      <w:r>
        <w:rPr>
          <w:u w:val="none"/>
          <w:color w:val="000000"/>
        </w:rPr>
        <w:fldChar w:fldCharType="end"/>
      </w:r>
      <w:r>
        <w:rPr>
          <w:color w:val="000000" w:themeColor="text1"/>
        </w:rPr>
        <w:t> Совета депутатов Кропачевского городского поселения от 08 апреля 2022 г. №19 "О введении  налога на имущество физических лиц".</w:t>
      </w:r>
    </w:p>
    <w:p>
      <w:pPr>
        <w:pStyle w:val="S1"/>
        <w:shd w:val="clear" w:color="auto" w:fill="FFFFFF"/>
        <w:spacing w:before="280" w:after="280"/>
        <w:jc w:val="both"/>
        <w:rPr>
          <w:color w:val="000000" w:themeColor="text1"/>
        </w:rPr>
      </w:pPr>
      <w:r>
        <w:rPr>
          <w:color w:val="000000" w:themeColor="text1"/>
        </w:rPr>
        <w:t>5. Контроль за исполнением настоящего решения возложить на постоянную комиссию Совета депутатов Кропачевского городского поселения по бюджету, налогам, экономической политике.</w:t>
      </w:r>
    </w:p>
    <w:p>
      <w:pPr>
        <w:pStyle w:val="S1"/>
        <w:shd w:val="clear" w:color="auto" w:fill="FFFFFF"/>
        <w:spacing w:before="280" w:after="280"/>
        <w:jc w:val="both"/>
        <w:rPr/>
      </w:pPr>
      <w:r>
        <w:rPr>
          <w:color w:val="000000" w:themeColor="text1"/>
        </w:rPr>
        <w:t xml:space="preserve">6. </w:t>
      </w:r>
      <w:r>
        <w:rPr/>
        <w:t xml:space="preserve">Настоящее  решение вступает в силу </w:t>
      </w:r>
      <w:r>
        <w:rPr>
          <w:rFonts w:ascii="FuturaNewBook" w:hAnsi="FuturaNewBook"/>
          <w:color w:val="000000"/>
          <w:shd w:fill="FFFFFF" w:val="clear"/>
        </w:rPr>
        <w:t xml:space="preserve">с 01 января 2023 года </w:t>
      </w:r>
      <w:r>
        <w:rPr/>
        <w:t>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p>
    <w:p>
      <w:pPr>
        <w:pStyle w:val="NoSpacing"/>
        <w:rPr/>
      </w:pPr>
      <w:r>
        <w:rPr/>
      </w:r>
    </w:p>
    <w:p>
      <w:pPr>
        <w:pStyle w:val="NoSpacing"/>
        <w:rPr/>
      </w:pPr>
      <w:r>
        <w:rPr/>
        <w:t xml:space="preserve">Председатель Совета депутатов                                                                   </w:t>
      </w:r>
    </w:p>
    <w:p>
      <w:pPr>
        <w:pStyle w:val="S1"/>
        <w:shd w:val="clear" w:color="auto" w:fill="FFFFFF"/>
        <w:spacing w:beforeAutospacing="0" w:before="0" w:afterAutospacing="0" w:after="0"/>
        <w:jc w:val="both"/>
        <w:rPr/>
      </w:pPr>
      <w:r>
        <w:rPr/>
        <w:t>Кропачевского городского поселения</w:t>
        <w:tab/>
        <w:tab/>
        <w:t xml:space="preserve">                                                                  А.Н. Юдин</w:t>
      </w:r>
    </w:p>
    <w:p>
      <w:pPr>
        <w:pStyle w:val="S1"/>
        <w:shd w:val="clear" w:color="auto" w:fill="FFFFFF"/>
        <w:spacing w:beforeAutospacing="0" w:before="0" w:after="280"/>
        <w:jc w:val="both"/>
        <w:rPr/>
      </w:pPr>
      <w:r>
        <w:rPr/>
        <w:tab/>
        <w:tab/>
        <w:tab/>
        <w:tab/>
        <w:tab/>
        <w:tab/>
        <w:tab/>
        <w:tab/>
        <w:tab/>
        <w:tab/>
      </w:r>
    </w:p>
    <w:p>
      <w:pPr>
        <w:pStyle w:val="NoSpacing"/>
        <w:rPr/>
      </w:pPr>
      <w:r>
        <w:rPr/>
        <w:t>Глава Кропачевского                                                                                                     У.Р. Зайнетдинов</w:t>
      </w:r>
    </w:p>
    <w:p>
      <w:pPr>
        <w:pStyle w:val="S1"/>
        <w:shd w:val="clear" w:color="auto" w:fill="FFFFFF"/>
        <w:spacing w:beforeAutospacing="0" w:before="0" w:after="280"/>
        <w:jc w:val="both"/>
        <w:rPr/>
      </w:pPr>
      <w:r>
        <w:rPr/>
        <w:t>городского поселения</w:t>
        <w:tab/>
        <w:tab/>
        <w:tab/>
        <w:tab/>
        <w:tab/>
        <w:tab/>
        <w:tab/>
      </w:r>
    </w:p>
    <w:sectPr>
      <w:type w:val="nextPage"/>
      <w:pgSz w:w="11906" w:h="16838"/>
      <w:pgMar w:left="1247" w:right="567" w:gutter="0" w:header="0" w:top="964"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FuturaNewBook">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508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semiHidden/>
    <w:rsid w:val="00fe5081"/>
    <w:rPr>
      <w:color w:val="0000FF"/>
      <w:u w:val="single"/>
    </w:rPr>
  </w:style>
  <w:style w:type="character" w:styleId="Strong">
    <w:name w:val="Strong"/>
    <w:basedOn w:val="DefaultParagraphFont"/>
    <w:uiPriority w:val="22"/>
    <w:qFormat/>
    <w:rsid w:val="002d16d9"/>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1" w:customStyle="1">
    <w:name w:val="s_1"/>
    <w:basedOn w:val="Normal"/>
    <w:qFormat/>
    <w:rsid w:val="00fe508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74b7a"/>
    <w:pPr>
      <w:spacing w:before="0" w:after="200"/>
      <w:ind w:left="720" w:hanging="0"/>
      <w:contextualSpacing/>
    </w:pPr>
    <w:rPr/>
  </w:style>
  <w:style w:type="paragraph" w:styleId="S16" w:customStyle="1">
    <w:name w:val="s_16"/>
    <w:basedOn w:val="Normal"/>
    <w:qFormat/>
    <w:rsid w:val="009c3761"/>
    <w:pPr>
      <w:spacing w:lineRule="auto" w:line="240" w:beforeAutospacing="1" w:afterAutospacing="1"/>
    </w:pPr>
    <w:rPr>
      <w:rFonts w:ascii="Times New Roman" w:hAnsi="Times New Roman" w:eastAsia="Times New Roman" w:cs="Times New Roman"/>
      <w:sz w:val="24"/>
      <w:szCs w:val="24"/>
      <w:lang w:eastAsia="ru-RU"/>
    </w:rPr>
  </w:style>
  <w:style w:type="paragraph" w:styleId="S22" w:customStyle="1">
    <w:name w:val="s_22"/>
    <w:basedOn w:val="Normal"/>
    <w:qFormat/>
    <w:rsid w:val="009c3761"/>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7e0ff7"/>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44A1-EDFE-4E38-9D3B-BD6AC9F0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LibreOffice/7.3.0.3$Windows_X86_64 LibreOffice_project/0f246aa12d0eee4a0f7adcefbf7c878fc2238db3</Application>
  <AppVersion>15.0000</AppVersion>
  <Pages>2</Pages>
  <Words>593</Words>
  <Characters>4178</Characters>
  <CharactersWithSpaces>5049</CharactersWithSpaces>
  <Paragraphs>41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2022-04-13T03:51:00Z</dcterms:created>
  <dc:creator>EVROCOM</dc:creator>
  <dc:description/>
  <dc:language>ru-RU</dc:language>
  <cp:lastModifiedBy>Zakupki</cp:lastModifiedBy>
  <cp:lastPrinted>2022-04-08T05:58:00Z</cp:lastPrinted>
  <dcterms:modified xsi:type="dcterms:W3CDTF">2022-04-15T05:11:00Z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